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69" w:rsidRPr="00814A03" w:rsidRDefault="00AE5869">
      <w:pPr>
        <w:rPr>
          <w:rFonts w:asciiTheme="minorHAnsi" w:hAnsiTheme="minorHAnsi" w:cstheme="minorHAnsi"/>
        </w:rPr>
      </w:pPr>
      <w:r w:rsidRPr="00814A03">
        <w:rPr>
          <w:rFonts w:asciiTheme="minorHAnsi" w:hAnsiTheme="minorHAnsi" w:cstheme="minorHAnsi"/>
        </w:rPr>
        <w:t xml:space="preserve">L’axe du tempo </w:t>
      </w:r>
      <w:r w:rsidR="00A60CF3">
        <w:rPr>
          <w:rFonts w:asciiTheme="minorHAnsi" w:hAnsiTheme="minorHAnsi" w:cstheme="minorHAnsi"/>
        </w:rPr>
        <w:t>et du temps, pistes</w:t>
      </w:r>
    </w:p>
    <w:p w:rsidR="00AE5869" w:rsidRPr="00814A03" w:rsidRDefault="00AE5869">
      <w:pPr>
        <w:rPr>
          <w:rFonts w:asciiTheme="minorHAnsi" w:hAnsiTheme="minorHAnsi" w:cstheme="minorHAnsi"/>
        </w:rPr>
      </w:pPr>
    </w:p>
    <w:p w:rsidR="00AE5869" w:rsidRPr="00814A03" w:rsidRDefault="00AE5869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730"/>
        <w:gridCol w:w="3950"/>
        <w:gridCol w:w="676"/>
      </w:tblGrid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C4BC96" w:themeFill="background2" w:themeFillShade="BF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A60CF3">
              <w:rPr>
                <w:rFonts w:asciiTheme="minorHAnsi" w:hAnsiTheme="minorHAnsi" w:cstheme="minorHAnsi"/>
                <w:noProof/>
                <w:sz w:val="16"/>
                <w:szCs w:val="16"/>
              </w:rPr>
              <w:t>Mythes et réalités</w:t>
            </w:r>
          </w:p>
        </w:tc>
        <w:tc>
          <w:tcPr>
            <w:tcW w:w="3730" w:type="dxa"/>
          </w:tcPr>
          <w:p w:rsidR="005026B5" w:rsidRPr="003E0F86" w:rsidRDefault="005026B5" w:rsidP="00AE5869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sz w:val="16"/>
              </w:rPr>
              <w:drawing>
                <wp:anchor distT="0" distB="0" distL="114300" distR="114300" simplePos="0" relativeHeight="251681792" behindDoc="0" locked="0" layoutInCell="1" allowOverlap="1" wp14:anchorId="7BEEB057" wp14:editId="0EEFF816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66040</wp:posOffset>
                  </wp:positionV>
                  <wp:extent cx="1242060" cy="1040130"/>
                  <wp:effectExtent l="0" t="0" r="0" b="762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RF 2008-44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Georges D’ESPAGNAT</w:t>
            </w:r>
          </w:p>
          <w:p w:rsidR="005026B5" w:rsidRPr="003E0F86" w:rsidRDefault="005026B5" w:rsidP="00AE5869">
            <w:pPr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  <w:t xml:space="preserve">(1870 – 1950) </w:t>
            </w:r>
          </w:p>
          <w:p w:rsidR="005026B5" w:rsidRPr="003E0F86" w:rsidRDefault="005026B5" w:rsidP="00AE5869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Léda et le cygne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début 20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  <w:vertAlign w:val="superscript"/>
              </w:rPr>
              <w:t>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 xml:space="preserve"> siècle</w:t>
            </w:r>
          </w:p>
          <w:p w:rsidR="005026B5" w:rsidRPr="003E0F86" w:rsidRDefault="005026B5" w:rsidP="00AE5869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Huile sur carton</w:t>
            </w:r>
          </w:p>
          <w:p w:rsidR="005026B5" w:rsidRPr="003E0F86" w:rsidRDefault="005026B5" w:rsidP="00AE5869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Dépôt, 1969</w:t>
            </w:r>
          </w:p>
          <w:p w:rsidR="005026B5" w:rsidRPr="003E0F86" w:rsidRDefault="005026B5" w:rsidP="00AE5869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Musée d’Orsay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5026B5" w:rsidP="00385BF6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 xml:space="preserve">L’instant figé, geste suspendu de Léda qui se défend = comme élément clef et perturbateur </w:t>
            </w:r>
            <w:r w:rsidRPr="00814A03">
              <w:rPr>
                <w:rFonts w:asciiTheme="minorHAnsi" w:hAnsiTheme="minorHAnsi" w:cstheme="minorHAnsi"/>
              </w:rPr>
              <w:t>dans ce récit mythologique</w:t>
            </w:r>
            <w:r w:rsidRPr="00814A03">
              <w:rPr>
                <w:rFonts w:asciiTheme="minorHAnsi" w:hAnsiTheme="minorHAnsi" w:cstheme="minorHAnsi"/>
              </w:rPr>
              <w:t xml:space="preserve">. La quiétude est rompue. </w:t>
            </w:r>
          </w:p>
        </w:tc>
        <w:tc>
          <w:tcPr>
            <w:tcW w:w="676" w:type="dxa"/>
          </w:tcPr>
          <w:p w:rsidR="005026B5" w:rsidRPr="00814A03" w:rsidRDefault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C4BC96" w:themeFill="background2" w:themeFillShade="BF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noProof/>
                <w:color w:val="1A1A1A"/>
                <w:sz w:val="16"/>
                <w:szCs w:val="16"/>
              </w:rPr>
            </w:pPr>
          </w:p>
        </w:tc>
        <w:tc>
          <w:tcPr>
            <w:tcW w:w="3730" w:type="dxa"/>
          </w:tcPr>
          <w:p w:rsidR="005026B5" w:rsidRPr="003E0F86" w:rsidRDefault="00814A03" w:rsidP="00385BF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682816" behindDoc="0" locked="0" layoutInCell="1" allowOverlap="1" wp14:anchorId="270D2ED9" wp14:editId="3FCAFFEB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0</wp:posOffset>
                  </wp:positionV>
                  <wp:extent cx="1296670" cy="864235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912.2379.JPE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6670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6B5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Jules-Émile ZINGG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(1882 – 1942)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Les tireurs de glace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1910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Huile sur toile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color w:val="FF0000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 xml:space="preserve">Achat, </w:t>
            </w:r>
            <w:r w:rsidRPr="003E0F86">
              <w:rPr>
                <w:rFonts w:asciiTheme="minorHAnsi" w:hAnsiTheme="minorHAnsi" w:cstheme="minorHAnsi"/>
                <w:color w:val="000000" w:themeColor="text1"/>
                <w:sz w:val="16"/>
              </w:rPr>
              <w:t>1912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5026B5" w:rsidP="00385BF6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 xml:space="preserve">Mouvement, marche, dimension narrative implicite aux pas (fatigue, neige, poids des grandes tires, pas lent mais décidé)… </w:t>
            </w:r>
          </w:p>
        </w:tc>
        <w:tc>
          <w:tcPr>
            <w:tcW w:w="676" w:type="dxa"/>
          </w:tcPr>
          <w:p w:rsidR="005026B5" w:rsidRPr="00814A03" w:rsidRDefault="005026B5" w:rsidP="00385BF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C4BC96" w:themeFill="background2" w:themeFillShade="BF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</w:tcPr>
          <w:p w:rsidR="005026B5" w:rsidRPr="003E0F86" w:rsidRDefault="00A60CF3" w:rsidP="00385BF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noProof/>
                <w:color w:val="000000"/>
                <w:sz w:val="16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69C89FFA" wp14:editId="50AE3035">
                  <wp:simplePos x="0" y="0"/>
                  <wp:positionH relativeFrom="margin">
                    <wp:posOffset>-46327</wp:posOffset>
                  </wp:positionH>
                  <wp:positionV relativeFrom="margin">
                    <wp:posOffset>9083</wp:posOffset>
                  </wp:positionV>
                  <wp:extent cx="1271905" cy="835025"/>
                  <wp:effectExtent l="0" t="0" r="4445" b="317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2009.24.01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71905" cy="83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6B5" w:rsidRPr="003E0F86"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  <w:t>Jean-Georges BERDOT</w:t>
            </w:r>
          </w:p>
          <w:p w:rsidR="005026B5" w:rsidRPr="003E0F86" w:rsidRDefault="005026B5" w:rsidP="00385BF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  <w:t>(1614 – avant 1679)</w:t>
            </w:r>
          </w:p>
          <w:p w:rsidR="005026B5" w:rsidRPr="003E0F86" w:rsidRDefault="005026B5" w:rsidP="00385B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i/>
                <w:color w:val="000000"/>
                <w:sz w:val="16"/>
                <w:szCs w:val="22"/>
              </w:rPr>
              <w:t>Alexandre le Grand faisant des libations devant le tombeau d’Achille</w:t>
            </w: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, vers 1649</w:t>
            </w:r>
          </w:p>
          <w:p w:rsidR="005026B5" w:rsidRPr="003E0F86" w:rsidRDefault="005026B5" w:rsidP="00385B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Huile sur toile</w:t>
            </w:r>
          </w:p>
          <w:p w:rsidR="005026B5" w:rsidRPr="003E0F86" w:rsidRDefault="005026B5" w:rsidP="00385B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Achat, 2010</w:t>
            </w:r>
          </w:p>
          <w:p w:rsidR="005026B5" w:rsidRPr="003E0F86" w:rsidRDefault="005026B5" w:rsidP="00385BF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Collection musées de Montbéliard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5026B5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>Tempo d’un cortège héroïque (en contraste des monuments, statues figées)</w:t>
            </w:r>
          </w:p>
        </w:tc>
        <w:tc>
          <w:tcPr>
            <w:tcW w:w="676" w:type="dxa"/>
          </w:tcPr>
          <w:p w:rsidR="005026B5" w:rsidRPr="00814A03" w:rsidRDefault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FDE9D9" w:themeFill="accent6" w:themeFillTint="33"/>
            <w:textDirection w:val="btLr"/>
          </w:tcPr>
          <w:p w:rsidR="005026B5" w:rsidRPr="00A60CF3" w:rsidRDefault="005026B5" w:rsidP="00A60CF3">
            <w:pPr>
              <w:ind w:left="113" w:right="113"/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16"/>
              </w:rPr>
            </w:pPr>
            <w:r w:rsidRPr="00A60CF3">
              <w:rPr>
                <w:rFonts w:asciiTheme="minorHAnsi" w:hAnsiTheme="minorHAnsi" w:cstheme="minorHAnsi"/>
                <w:sz w:val="16"/>
                <w:szCs w:val="16"/>
              </w:rPr>
              <w:t>Caché / dévoilé</w:t>
            </w:r>
          </w:p>
        </w:tc>
        <w:tc>
          <w:tcPr>
            <w:tcW w:w="3730" w:type="dxa"/>
          </w:tcPr>
          <w:p w:rsidR="005026B5" w:rsidRPr="003E0F86" w:rsidRDefault="005026B5" w:rsidP="005026B5">
            <w:pPr>
              <w:pStyle w:val="Standard"/>
              <w:spacing w:before="280"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noProof/>
                <w:color w:val="000000"/>
                <w:sz w:val="16"/>
                <w:szCs w:val="22"/>
                <w:lang w:eastAsia="fr-FR" w:bidi="ar-SA"/>
              </w:rPr>
              <w:drawing>
                <wp:anchor distT="0" distB="0" distL="114300" distR="114300" simplePos="0" relativeHeight="251684864" behindDoc="0" locked="0" layoutInCell="1" allowOverlap="1" wp14:anchorId="457C3ACB" wp14:editId="49E859E8">
                  <wp:simplePos x="0" y="0"/>
                  <wp:positionH relativeFrom="margin">
                    <wp:posOffset>-26449</wp:posOffset>
                  </wp:positionH>
                  <wp:positionV relativeFrom="margin">
                    <wp:posOffset>190997</wp:posOffset>
                  </wp:positionV>
                  <wp:extent cx="914400" cy="937260"/>
                  <wp:effectExtent l="0" t="0" r="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991.02.07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4400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  <w:t>Patrick LOSTE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  <w:t>(1955 –)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i/>
                <w:color w:val="000000"/>
                <w:sz w:val="16"/>
                <w:szCs w:val="22"/>
              </w:rPr>
              <w:t>Sans titre</w:t>
            </w: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, 1987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Acrylique sur contreplaqué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Achat, 1995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Collection musées de Montbéliard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5026B5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>Envol du cheval ailé (traversée brève et fugitive ?</w:t>
            </w:r>
            <w:r w:rsidR="00A60CF3">
              <w:rPr>
                <w:rFonts w:asciiTheme="minorHAnsi" w:hAnsiTheme="minorHAnsi" w:cstheme="minorHAnsi"/>
              </w:rPr>
              <w:t>)</w:t>
            </w:r>
          </w:p>
          <w:p w:rsidR="005026B5" w:rsidRPr="00814A03" w:rsidRDefault="005026B5" w:rsidP="005026B5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>Mais aussi un temps suspendu du rêve, de l’imaginaire</w:t>
            </w:r>
          </w:p>
        </w:tc>
        <w:tc>
          <w:tcPr>
            <w:tcW w:w="676" w:type="dxa"/>
          </w:tcPr>
          <w:p w:rsidR="005026B5" w:rsidRPr="00814A03" w:rsidRDefault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FDE9D9" w:themeFill="accent6" w:themeFillTint="33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5026B5" w:rsidRPr="003E0F86" w:rsidRDefault="00A60CF3" w:rsidP="005026B5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685888" behindDoc="0" locked="0" layoutInCell="1" allowOverlap="1" wp14:anchorId="71CE0327" wp14:editId="075BE243">
                  <wp:simplePos x="0" y="0"/>
                  <wp:positionH relativeFrom="margin">
                    <wp:posOffset>3369</wp:posOffset>
                  </wp:positionH>
                  <wp:positionV relativeFrom="margin">
                    <wp:posOffset>36278</wp:posOffset>
                  </wp:positionV>
                  <wp:extent cx="1247140" cy="997585"/>
                  <wp:effectExtent l="0" t="0" r="0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6_991.P2.0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6B5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 xml:space="preserve">Jan </w:t>
            </w:r>
            <w:proofErr w:type="spellStart"/>
            <w:r w:rsidR="005026B5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Rutgers</w:t>
            </w:r>
            <w:proofErr w:type="spellEnd"/>
            <w:r w:rsidR="005026B5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 xml:space="preserve"> VAN NIWAËL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(1595 – 1670)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Le beau Narcisse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1640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Huile sur toile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 xml:space="preserve">Legs Jules </w:t>
            </w:r>
            <w:proofErr w:type="spellStart"/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Beurnier</w:t>
            </w:r>
            <w:proofErr w:type="spellEnd"/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1902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5026B5" w:rsidP="005026B5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 xml:space="preserve">Illusion d’un tempo figé, suspendu par le geste théâtral de Narcisse. </w:t>
            </w:r>
          </w:p>
          <w:p w:rsidR="005026B5" w:rsidRPr="00814A03" w:rsidRDefault="005026B5" w:rsidP="005026B5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>Mais les indices du destin tragique sont partout (ruines, fissures…)</w:t>
            </w:r>
          </w:p>
        </w:tc>
        <w:tc>
          <w:tcPr>
            <w:tcW w:w="676" w:type="dxa"/>
          </w:tcPr>
          <w:p w:rsidR="005026B5" w:rsidRPr="00814A03" w:rsidRDefault="005026B5" w:rsidP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E4FF97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A60CF3">
              <w:rPr>
                <w:rFonts w:asciiTheme="minorHAnsi" w:hAnsiTheme="minorHAnsi" w:cstheme="minorHAnsi"/>
                <w:sz w:val="16"/>
                <w:szCs w:val="16"/>
              </w:rPr>
              <w:t>Eternel / éphémère</w:t>
            </w:r>
          </w:p>
        </w:tc>
        <w:tc>
          <w:tcPr>
            <w:tcW w:w="3730" w:type="dxa"/>
          </w:tcPr>
          <w:p w:rsidR="005026B5" w:rsidRPr="003E0F86" w:rsidRDefault="005026B5" w:rsidP="005026B5">
            <w:pPr>
              <w:rPr>
                <w:rFonts w:asciiTheme="minorHAnsi" w:hAnsiTheme="minorHAnsi" w:cstheme="minorHAnsi"/>
                <w:b/>
                <w:color w:val="1A1A1A"/>
                <w:sz w:val="16"/>
                <w:lang w:val="en-US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686912" behindDoc="0" locked="0" layoutInCell="1" allowOverlap="1" wp14:anchorId="6B03D7D0" wp14:editId="0D7B3E9A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52070</wp:posOffset>
                  </wp:positionV>
                  <wp:extent cx="887095" cy="943610"/>
                  <wp:effectExtent l="0" t="0" r="8255" b="889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AC.987.1.01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7095" cy="94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  <w:lang w:val="en-US"/>
              </w:rPr>
              <w:t>Jean-Luc VILMOUTH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b/>
                <w:color w:val="1A1A1A"/>
                <w:sz w:val="16"/>
                <w:szCs w:val="26"/>
                <w:lang w:val="en-US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  <w:szCs w:val="26"/>
                <w:lang w:val="en-US"/>
              </w:rPr>
              <w:t>(1952 – 2015)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  <w:lang w:val="en-US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  <w:lang w:val="en-US"/>
              </w:rPr>
              <w:t>Local Time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  <w:lang w:val="en-US"/>
              </w:rPr>
              <w:t>, 1987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Métal, bois, plastique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Achat, 1987</w:t>
            </w:r>
          </w:p>
          <w:p w:rsidR="005026B5" w:rsidRPr="003E0F86" w:rsidRDefault="005026B5" w:rsidP="005026B5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814A03" w:rsidRPr="00814A03" w:rsidRDefault="005026B5" w:rsidP="00814A03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>La cadence inexorablement régulière d’</w:t>
            </w:r>
            <w:r w:rsidR="00814A03" w:rsidRPr="00814A03">
              <w:rPr>
                <w:rFonts w:asciiTheme="minorHAnsi" w:hAnsiTheme="minorHAnsi" w:cstheme="minorHAnsi"/>
              </w:rPr>
              <w:t>une horloge et l’illusion de de pouvoir suspendre le temps…</w:t>
            </w:r>
          </w:p>
          <w:p w:rsidR="005026B5" w:rsidRPr="00814A03" w:rsidRDefault="005026B5" w:rsidP="00814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6" w:type="dxa"/>
          </w:tcPr>
          <w:p w:rsidR="005026B5" w:rsidRPr="00814A03" w:rsidRDefault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</w:rPr>
              <w:t xml:space="preserve">VISUEL </w:t>
            </w:r>
            <w:r w:rsidR="005026B5" w:rsidRPr="00814A03">
              <w:rPr>
                <w:rFonts w:asciiTheme="minorHAnsi" w:hAnsiTheme="minorHAnsi" w:cstheme="minorHAnsi"/>
                <w:color w:val="FF0000"/>
                <w:sz w:val="14"/>
              </w:rPr>
              <w:t>NON LIBRE DE DROIT</w:t>
            </w: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E4FF97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814A03" w:rsidRPr="003E0F86" w:rsidRDefault="00814A03" w:rsidP="00814A03">
            <w:pPr>
              <w:jc w:val="both"/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688960" behindDoc="0" locked="0" layoutInCell="1" allowOverlap="1" wp14:anchorId="36772BB2" wp14:editId="14D41A1E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69850</wp:posOffset>
                  </wp:positionV>
                  <wp:extent cx="903605" cy="831215"/>
                  <wp:effectExtent l="0" t="1905" r="8890" b="8890"/>
                  <wp:wrapSquare wrapText="bothSides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995.16.01.JPE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90360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Valérie RAUCHBACH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(1960 –)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Samuel Beckett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1994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Sable volcanique sur panneau de bois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Achat, 1995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814A03" w:rsidP="00814A03">
            <w:pPr>
              <w:rPr>
                <w:rFonts w:asciiTheme="minorHAnsi" w:hAnsiTheme="minorHAnsi" w:cstheme="minorHAnsi"/>
              </w:rPr>
            </w:pPr>
            <w:r w:rsidRPr="00814A03">
              <w:rPr>
                <w:rFonts w:asciiTheme="minorHAnsi" w:hAnsiTheme="minorHAnsi" w:cstheme="minorHAnsi"/>
              </w:rPr>
              <w:t>Temps suspendu dans le geste</w:t>
            </w:r>
            <w:r>
              <w:rPr>
                <w:rFonts w:asciiTheme="minorHAnsi" w:hAnsiTheme="minorHAnsi" w:cstheme="minorHAnsi"/>
              </w:rPr>
              <w:t xml:space="preserve"> (pose personnage)</w:t>
            </w:r>
            <w:r w:rsidRPr="00814A03">
              <w:rPr>
                <w:rFonts w:asciiTheme="minorHAnsi" w:hAnsiTheme="minorHAnsi" w:cstheme="minorHAnsi"/>
              </w:rPr>
              <w:t>, temps de la vie (vieillesse), l’éphémère figé (sable)…</w:t>
            </w:r>
          </w:p>
        </w:tc>
        <w:tc>
          <w:tcPr>
            <w:tcW w:w="676" w:type="dxa"/>
          </w:tcPr>
          <w:p w:rsidR="005026B5" w:rsidRPr="00814A03" w:rsidRDefault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E4FF97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814A03" w:rsidRPr="003E0F86" w:rsidRDefault="00A60CF3" w:rsidP="00814A03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noProof/>
                <w:color w:val="1A1A1A"/>
                <w:sz w:val="16"/>
              </w:rPr>
              <w:drawing>
                <wp:anchor distT="0" distB="0" distL="114300" distR="114300" simplePos="0" relativeHeight="251691008" behindDoc="0" locked="0" layoutInCell="1" allowOverlap="1" wp14:anchorId="5DE3BA8B" wp14:editId="04785EC3">
                  <wp:simplePos x="0" y="0"/>
                  <wp:positionH relativeFrom="margin">
                    <wp:posOffset>13722</wp:posOffset>
                  </wp:positionH>
                  <wp:positionV relativeFrom="margin">
                    <wp:posOffset>68470</wp:posOffset>
                  </wp:positionV>
                  <wp:extent cx="1078230" cy="751840"/>
                  <wp:effectExtent l="0" t="0" r="7620" b="0"/>
                  <wp:wrapSquare wrapText="bothSides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2016.9.1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8230" cy="75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A03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Paul-Alfred COLIN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(1838 – 1916)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 xml:space="preserve">Paysage (Sentier sur la falaise de </w:t>
            </w:r>
            <w:proofErr w:type="spellStart"/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Criqueboeuf</w:t>
            </w:r>
            <w:proofErr w:type="spellEnd"/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)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3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  <w:vertAlign w:val="superscript"/>
              </w:rPr>
              <w:t>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 xml:space="preserve"> quart du 19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  <w:vertAlign w:val="superscript"/>
              </w:rPr>
              <w:t>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 xml:space="preserve"> siècle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Huile sur toile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Dépôt Fonds National d’Art Contemporain en 1874, transfert de propriété en 2016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814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Temporalité d’un paysage (orage menaçant, horizon limpide, nature fragilisée…), tempo des personnages (pas sur le chemin)</w:t>
            </w:r>
          </w:p>
        </w:tc>
        <w:tc>
          <w:tcPr>
            <w:tcW w:w="676" w:type="dxa"/>
          </w:tcPr>
          <w:p w:rsidR="005026B5" w:rsidRPr="00814A03" w:rsidRDefault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5026B5" w:rsidRPr="00A60CF3" w:rsidRDefault="005026B5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A60CF3">
              <w:rPr>
                <w:rFonts w:asciiTheme="minorHAnsi" w:hAnsiTheme="minorHAnsi" w:cstheme="minorHAnsi"/>
                <w:sz w:val="16"/>
                <w:szCs w:val="16"/>
              </w:rPr>
              <w:t>Bruit et silence</w:t>
            </w:r>
          </w:p>
        </w:tc>
        <w:tc>
          <w:tcPr>
            <w:tcW w:w="3730" w:type="dxa"/>
          </w:tcPr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693056" behindDoc="0" locked="0" layoutInCell="1" allowOverlap="1" wp14:anchorId="5AE3A430" wp14:editId="6A1EABDD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78740</wp:posOffset>
                  </wp:positionV>
                  <wp:extent cx="715010" cy="971550"/>
                  <wp:effectExtent l="0" t="0" r="8890" b="0"/>
                  <wp:wrapSquare wrapText="bothSides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2012.0.013 (2)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71501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Charles-Théodore PERRON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(1862 – 1934)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L’Épave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1896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Régule et marbre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E0F86">
              <w:rPr>
                <w:rFonts w:asciiTheme="minorHAnsi" w:hAnsiTheme="minorHAnsi" w:cstheme="minorHAnsi"/>
                <w:color w:val="000000" w:themeColor="text1"/>
                <w:sz w:val="16"/>
              </w:rPr>
              <w:t>Fonds ancien du musée</w:t>
            </w:r>
          </w:p>
          <w:p w:rsidR="00814A03" w:rsidRPr="003E0F86" w:rsidRDefault="00814A03" w:rsidP="00814A03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3E0F86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Collections musées de Montbéliard </w:t>
            </w:r>
          </w:p>
          <w:p w:rsidR="005026B5" w:rsidRPr="003E0F86" w:rsidRDefault="005026B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5026B5" w:rsidRPr="00814A03" w:rsidRDefault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Geste suspendu d’un appel à l’aide, en contraste avec le mouvement virulent des vagues</w:t>
            </w:r>
          </w:p>
        </w:tc>
        <w:tc>
          <w:tcPr>
            <w:tcW w:w="676" w:type="dxa"/>
          </w:tcPr>
          <w:p w:rsidR="005026B5" w:rsidRPr="00814A03" w:rsidRDefault="005026B5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A60CF3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FF0000"/>
                <w:sz w:val="16"/>
              </w:rPr>
              <w:drawing>
                <wp:anchor distT="0" distB="0" distL="114300" distR="114300" simplePos="0" relativeHeight="251722752" behindDoc="0" locked="0" layoutInCell="1" allowOverlap="1" wp14:anchorId="7389C0ED" wp14:editId="06BB4235">
                  <wp:simplePos x="0" y="0"/>
                  <wp:positionH relativeFrom="margin">
                    <wp:posOffset>-24047</wp:posOffset>
                  </wp:positionH>
                  <wp:positionV relativeFrom="margin">
                    <wp:posOffset>118883</wp:posOffset>
                  </wp:positionV>
                  <wp:extent cx="1170305" cy="918210"/>
                  <wp:effectExtent l="0" t="0" r="0" b="0"/>
                  <wp:wrapSquare wrapText="bothSides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D.2001.02.04.JPE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0305" cy="918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F86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Dietrich-MOHR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  <w:szCs w:val="26"/>
              </w:rPr>
              <w:t>(1924 – 2016)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  <w:szCs w:val="26"/>
              </w:rPr>
              <w:t>L’orage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  <w:szCs w:val="26"/>
              </w:rPr>
              <w:t>, 1985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Inox et acier cor-</w:t>
            </w:r>
            <w:proofErr w:type="spellStart"/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ten</w:t>
            </w:r>
            <w:proofErr w:type="spellEnd"/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FF0000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Dépôt de l’artiste, 2001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« choc », l’impact implicite à la forme et à l’idée d’orage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</w:rPr>
              <w:t xml:space="preserve">VISUEL </w:t>
            </w:r>
            <w:r w:rsidRPr="00814A03">
              <w:rPr>
                <w:rFonts w:asciiTheme="minorHAnsi" w:hAnsiTheme="minorHAnsi" w:cstheme="minorHAnsi"/>
                <w:color w:val="FF0000"/>
                <w:sz w:val="14"/>
              </w:rPr>
              <w:t>NON LIBRE DE DROIT</w:t>
            </w: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A60CF3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724800" behindDoc="0" locked="0" layoutInCell="1" allowOverlap="1" wp14:anchorId="09152D3B" wp14:editId="0C74F78B">
                  <wp:simplePos x="0" y="0"/>
                  <wp:positionH relativeFrom="margin">
                    <wp:posOffset>-5771</wp:posOffset>
                  </wp:positionH>
                  <wp:positionV relativeFrom="margin">
                    <wp:posOffset>35119</wp:posOffset>
                  </wp:positionV>
                  <wp:extent cx="1399540" cy="759460"/>
                  <wp:effectExtent l="0" t="0" r="0" b="2540"/>
                  <wp:wrapSquare wrapText="bothSides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2007.20.01.JPE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9540" cy="75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E0F86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Vesna</w:t>
            </w:r>
            <w:proofErr w:type="spellEnd"/>
            <w:r w:rsidR="003E0F86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 xml:space="preserve"> KOVACIC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(1954 –)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Sans titre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2005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Acrylique sur résine époxy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Achat, 2007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Ordre et désordre, régularité, irrégularité en dualité, dans la perception et les 2D/3D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</w:rPr>
              <w:t xml:space="preserve">VISUEL </w:t>
            </w:r>
            <w:r w:rsidRPr="00814A03">
              <w:rPr>
                <w:rFonts w:asciiTheme="minorHAnsi" w:hAnsiTheme="minorHAnsi" w:cstheme="minorHAnsi"/>
                <w:color w:val="FF0000"/>
                <w:sz w:val="14"/>
              </w:rPr>
              <w:t>NON LIBRE DE DROIT</w:t>
            </w: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703296" behindDoc="0" locked="0" layoutInCell="1" allowOverlap="1" wp14:anchorId="029A2B65" wp14:editId="6F7F8460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90805</wp:posOffset>
                  </wp:positionV>
                  <wp:extent cx="1043305" cy="828040"/>
                  <wp:effectExtent l="0" t="0" r="4445" b="0"/>
                  <wp:wrapSquare wrapText="bothSides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M.A.6741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30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Jules-Émile ZINGG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  <w:t>(1882 – 1942)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i/>
                <w:color w:val="000000"/>
                <w:sz w:val="16"/>
                <w:szCs w:val="22"/>
              </w:rPr>
              <w:t xml:space="preserve">L’étude </w:t>
            </w: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ou</w:t>
            </w:r>
            <w:r w:rsidRPr="003E0F86">
              <w:rPr>
                <w:rFonts w:asciiTheme="minorHAnsi" w:hAnsiTheme="minorHAnsi" w:cstheme="minorHAnsi"/>
                <w:i/>
                <w:color w:val="000000"/>
                <w:sz w:val="16"/>
                <w:szCs w:val="22"/>
              </w:rPr>
              <w:t xml:space="preserve"> La leçon de musique</w:t>
            </w:r>
            <w:r w:rsidRPr="003E0F86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, 1919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Huile sur toile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Dépôt, 1964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Fonds National d’Art Contemporain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tempo « narratif » d’une leçon de musique et en suspens, à l’écart, le peintre en observation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noProof/>
                <w:color w:val="1A1A1A"/>
                <w:sz w:val="16"/>
              </w:rPr>
              <w:drawing>
                <wp:anchor distT="0" distB="0" distL="114300" distR="114300" simplePos="0" relativeHeight="251726848" behindDoc="0" locked="0" layoutInCell="1" allowOverlap="1" wp14:anchorId="62E9A997" wp14:editId="391C0336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66675</wp:posOffset>
                  </wp:positionV>
                  <wp:extent cx="1330325" cy="844550"/>
                  <wp:effectExtent l="0" t="0" r="3175" b="0"/>
                  <wp:wrapSquare wrapText="bothSides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AC.970.04.02.JPE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0325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Jean MESSAGIER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(1920 – 1999)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Printemps bouclier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1968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proofErr w:type="spellStart"/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Vinyl</w:t>
            </w:r>
            <w:proofErr w:type="spellEnd"/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 xml:space="preserve"> sur toile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Achat, 1970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</w:p>
        </w:tc>
        <w:tc>
          <w:tcPr>
            <w:tcW w:w="3950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foisonnant, explosif et en dualité de volutes abstraites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</w:rPr>
              <w:t xml:space="preserve">VISUEL </w:t>
            </w:r>
            <w:r w:rsidRPr="00814A03">
              <w:rPr>
                <w:rFonts w:asciiTheme="minorHAnsi" w:hAnsiTheme="minorHAnsi" w:cstheme="minorHAnsi"/>
                <w:color w:val="FF0000"/>
                <w:sz w:val="14"/>
              </w:rPr>
              <w:t>NON LIBRE DE DROIT</w:t>
            </w:r>
          </w:p>
        </w:tc>
      </w:tr>
      <w:tr w:rsidR="00A60CF3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728896" behindDoc="0" locked="0" layoutInCell="1" allowOverlap="1" wp14:anchorId="413986CD" wp14:editId="56F53D2A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3175</wp:posOffset>
                  </wp:positionV>
                  <wp:extent cx="890270" cy="774700"/>
                  <wp:effectExtent l="0" t="0" r="5080" b="6350"/>
                  <wp:wrapSquare wrapText="bothSides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RF 2008-09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Albert ANDRÉ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  <w:r w:rsidRPr="003E0F86"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  <w:t>(1869 – 1954)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22"/>
              </w:rPr>
            </w:pP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Le manège de chevaux de bois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1908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Huile sur toile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Dépôt, 1969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Musée d’Orsay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50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 « tournoyant » et festif d’un manège…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</w:rPr>
              <w:t xml:space="preserve">VISUEL </w:t>
            </w:r>
            <w:r w:rsidRPr="00814A03">
              <w:rPr>
                <w:rFonts w:asciiTheme="minorHAnsi" w:hAnsiTheme="minorHAnsi" w:cstheme="minorHAnsi"/>
                <w:color w:val="FF0000"/>
                <w:sz w:val="14"/>
              </w:rPr>
              <w:t>NON LIBRE DE DROIT</w:t>
            </w:r>
          </w:p>
        </w:tc>
      </w:tr>
      <w:tr w:rsidR="003E0F86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A60CF3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  <w:szCs w:val="26"/>
              </w:rPr>
              <w:drawing>
                <wp:anchor distT="0" distB="0" distL="114300" distR="114300" simplePos="0" relativeHeight="251718656" behindDoc="0" locked="0" layoutInCell="1" allowOverlap="1" wp14:anchorId="3E13E837" wp14:editId="1CC048AB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58558</wp:posOffset>
                  </wp:positionV>
                  <wp:extent cx="715010" cy="968375"/>
                  <wp:effectExtent l="0" t="0" r="8890" b="3175"/>
                  <wp:wrapSquare wrapText="bothSides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890.2072.JPE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501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F86" w:rsidRPr="003E0F86"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  <w:t>Charles-Auguste WEISSER</w:t>
            </w:r>
            <w:r w:rsidR="003E0F86" w:rsidRPr="003E0F86">
              <w:rPr>
                <w:rFonts w:asciiTheme="minorHAnsi" w:hAnsiTheme="minorHAnsi" w:cstheme="minorHAnsi"/>
                <w:noProof/>
                <w:color w:val="1A1A1A"/>
                <w:sz w:val="16"/>
                <w:szCs w:val="26"/>
              </w:rPr>
              <w:t xml:space="preserve"> 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  <w:t>(1864 – 1940)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  <w:szCs w:val="26"/>
              </w:rPr>
            </w:pP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  <w:szCs w:val="26"/>
              </w:rPr>
              <w:t>Lendemain de bal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  <w:szCs w:val="26"/>
              </w:rPr>
              <w:t>, 1887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  <w:szCs w:val="26"/>
              </w:rPr>
              <w:t>Huile sur toile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  <w:szCs w:val="26"/>
              </w:rPr>
              <w:t>Achat, 1890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  <w:szCs w:val="2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  <w:szCs w:val="26"/>
              </w:rPr>
              <w:t>Collection musées de Montbéliard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noProof/>
                <w:color w:val="1A1A1A"/>
                <w:sz w:val="16"/>
              </w:rPr>
            </w:pPr>
          </w:p>
        </w:tc>
        <w:tc>
          <w:tcPr>
            <w:tcW w:w="3950" w:type="dxa"/>
          </w:tcPr>
          <w:p w:rsidR="003E0F86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Temps suspendu de l’attente… jalon d’un récit narratif et quasi psychologique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  <w:tr w:rsidR="003E0F86" w:rsidRPr="00814A03" w:rsidTr="00A60CF3">
        <w:trPr>
          <w:cantSplit/>
          <w:trHeight w:val="1134"/>
        </w:trPr>
        <w:tc>
          <w:tcPr>
            <w:tcW w:w="704" w:type="dxa"/>
            <w:shd w:val="clear" w:color="auto" w:fill="DBE5F1" w:themeFill="accent1" w:themeFillTint="33"/>
            <w:textDirection w:val="btLr"/>
          </w:tcPr>
          <w:p w:rsidR="003E0F86" w:rsidRPr="00A60CF3" w:rsidRDefault="003E0F86" w:rsidP="003E0F86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0" w:type="dxa"/>
          </w:tcPr>
          <w:p w:rsidR="003E0F86" w:rsidRPr="003E0F86" w:rsidRDefault="00A60CF3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noProof/>
                <w:color w:val="1A1A1A"/>
                <w:sz w:val="16"/>
              </w:rPr>
              <w:drawing>
                <wp:anchor distT="0" distB="0" distL="114300" distR="114300" simplePos="0" relativeHeight="251720704" behindDoc="0" locked="0" layoutInCell="1" allowOverlap="1" wp14:anchorId="2C81F8D5" wp14:editId="1133D2A9">
                  <wp:simplePos x="0" y="0"/>
                  <wp:positionH relativeFrom="margin">
                    <wp:posOffset>-26477</wp:posOffset>
                  </wp:positionH>
                  <wp:positionV relativeFrom="margin">
                    <wp:posOffset>27</wp:posOffset>
                  </wp:positionV>
                  <wp:extent cx="572770" cy="1042670"/>
                  <wp:effectExtent l="0" t="0" r="0" b="5080"/>
                  <wp:wrapSquare wrapText="bothSides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0337_1881.1913.JPE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2770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F86"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Aimé Napoléon PERREY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b/>
                <w:color w:val="1A1A1A"/>
                <w:sz w:val="16"/>
              </w:rPr>
              <w:t>(1813 – 1883)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b/>
                <w:color w:val="1A1A1A"/>
                <w:sz w:val="16"/>
              </w:rPr>
            </w:pP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i/>
                <w:color w:val="1A1A1A"/>
                <w:sz w:val="16"/>
              </w:rPr>
              <w:t>Ariane abandonnée</w:t>
            </w: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, 1877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Plâtre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Don de l’artiste, 1881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color w:val="1A1A1A"/>
                <w:sz w:val="16"/>
              </w:rPr>
            </w:pPr>
            <w:r w:rsidRPr="003E0F86">
              <w:rPr>
                <w:rFonts w:asciiTheme="minorHAnsi" w:hAnsiTheme="minorHAnsi" w:cstheme="minorHAnsi"/>
                <w:color w:val="1A1A1A"/>
                <w:sz w:val="16"/>
              </w:rPr>
              <w:t>Collection musées de Montbéliard</w:t>
            </w:r>
          </w:p>
          <w:p w:rsidR="003E0F86" w:rsidRPr="003E0F86" w:rsidRDefault="003E0F86" w:rsidP="003E0F86">
            <w:pPr>
              <w:rPr>
                <w:rFonts w:asciiTheme="minorHAnsi" w:hAnsiTheme="minorHAnsi" w:cstheme="minorHAnsi"/>
                <w:noProof/>
                <w:color w:val="1A1A1A"/>
                <w:sz w:val="16"/>
              </w:rPr>
            </w:pPr>
          </w:p>
        </w:tc>
        <w:tc>
          <w:tcPr>
            <w:tcW w:w="3950" w:type="dxa"/>
          </w:tcPr>
          <w:p w:rsidR="003E0F86" w:rsidRDefault="003E0F86" w:rsidP="003E0F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Temps suspendu de l’attente</w:t>
            </w:r>
          </w:p>
        </w:tc>
        <w:tc>
          <w:tcPr>
            <w:tcW w:w="676" w:type="dxa"/>
          </w:tcPr>
          <w:p w:rsidR="003E0F86" w:rsidRPr="00814A03" w:rsidRDefault="003E0F86" w:rsidP="003E0F86">
            <w:pPr>
              <w:rPr>
                <w:rFonts w:asciiTheme="minorHAnsi" w:hAnsiTheme="minorHAnsi" w:cstheme="minorHAnsi"/>
                <w:color w:val="FF0000"/>
                <w:sz w:val="14"/>
              </w:rPr>
            </w:pPr>
          </w:p>
        </w:tc>
      </w:tr>
    </w:tbl>
    <w:p w:rsidR="00AE5869" w:rsidRPr="00814A03" w:rsidRDefault="00AE586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E5869" w:rsidRPr="00814A03"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69"/>
    <w:rsid w:val="002141E8"/>
    <w:rsid w:val="00323154"/>
    <w:rsid w:val="00385BF6"/>
    <w:rsid w:val="003E0F86"/>
    <w:rsid w:val="005026B5"/>
    <w:rsid w:val="007F1D79"/>
    <w:rsid w:val="00814A03"/>
    <w:rsid w:val="00A60CF3"/>
    <w:rsid w:val="00AE5869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68781"/>
  <w14:defaultImageDpi w14:val="150"/>
  <w15:chartTrackingRefBased/>
  <w15:docId w15:val="{34227811-35AF-45A2-AEF9-4A2E6C2F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026B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576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Montbéliard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BIRON Sylvie</dc:creator>
  <cp:keywords/>
  <dc:description/>
  <cp:lastModifiedBy>BIRON Sylvie</cp:lastModifiedBy>
  <cp:revision>2</cp:revision>
  <dcterms:created xsi:type="dcterms:W3CDTF">2022-03-18T15:13:00Z</dcterms:created>
  <dcterms:modified xsi:type="dcterms:W3CDTF">2022-03-18T15:58:00Z</dcterms:modified>
</cp:coreProperties>
</file>